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9F4" w:rsidRDefault="007C19F4" w:rsidP="007C19F4">
      <w:pPr>
        <w:jc w:val="both"/>
        <w:rPr>
          <w:rFonts w:ascii="Arial" w:hAnsi="Arial"/>
          <w:sz w:val="24"/>
        </w:rPr>
      </w:pPr>
    </w:p>
    <w:p w:rsidR="007C19F4" w:rsidRPr="00E31DAE" w:rsidRDefault="007C19F4" w:rsidP="007C19F4">
      <w:pPr>
        <w:rPr>
          <w:b/>
          <w:spacing w:val="20"/>
          <w:sz w:val="32"/>
          <w:lang w:val="uk-UA"/>
        </w:rPr>
      </w:pPr>
      <w:r>
        <w:rPr>
          <w:rFonts w:ascii="Arial" w:hAnsi="Arial"/>
          <w:sz w:val="24"/>
        </w:rPr>
        <w:tab/>
      </w:r>
      <w:r>
        <w:rPr>
          <w:rFonts w:ascii="Arial" w:hAnsi="Arial"/>
          <w:sz w:val="24"/>
        </w:rPr>
        <w:tab/>
      </w:r>
      <w:r w:rsidRPr="00E31DAE">
        <w:rPr>
          <w:b/>
          <w:spacing w:val="20"/>
          <w:sz w:val="32"/>
          <w:lang w:val="uk-UA"/>
        </w:rPr>
        <w:t>Товариство з обмеженою відповідальністю</w:t>
      </w:r>
    </w:p>
    <w:p w:rsidR="007C19F4" w:rsidRPr="00E31DAE" w:rsidRDefault="007C19F4" w:rsidP="007C19F4">
      <w:pPr>
        <w:jc w:val="center"/>
        <w:rPr>
          <w:b/>
          <w:spacing w:val="20"/>
          <w:sz w:val="16"/>
        </w:rPr>
      </w:pPr>
    </w:p>
    <w:p w:rsidR="007C19F4" w:rsidRPr="00E31DAE" w:rsidRDefault="007C19F4" w:rsidP="007C19F4">
      <w:pPr>
        <w:pBdr>
          <w:bottom w:val="single" w:sz="12" w:space="1" w:color="auto"/>
        </w:pBdr>
        <w:jc w:val="center"/>
        <w:rPr>
          <w:b/>
          <w:spacing w:val="38"/>
          <w:sz w:val="48"/>
        </w:rPr>
      </w:pPr>
      <w:r w:rsidRPr="00E31DAE">
        <w:rPr>
          <w:b/>
          <w:spacing w:val="38"/>
          <w:sz w:val="48"/>
        </w:rPr>
        <w:t>“На</w:t>
      </w:r>
      <w:r w:rsidRPr="00E31DAE">
        <w:rPr>
          <w:b/>
          <w:spacing w:val="38"/>
          <w:sz w:val="48"/>
          <w:lang w:val="uk-UA"/>
        </w:rPr>
        <w:t>родний</w:t>
      </w:r>
      <w:r w:rsidRPr="00E31DAE">
        <w:rPr>
          <w:b/>
          <w:spacing w:val="38"/>
          <w:sz w:val="48"/>
        </w:rPr>
        <w:t xml:space="preserve"> ре</w:t>
      </w:r>
      <w:r w:rsidRPr="00E31DAE">
        <w:rPr>
          <w:b/>
          <w:spacing w:val="38"/>
          <w:sz w:val="48"/>
          <w:lang w:val="uk-UA"/>
        </w:rPr>
        <w:t>є</w:t>
      </w:r>
      <w:r w:rsidRPr="00E31DAE">
        <w:rPr>
          <w:b/>
          <w:spacing w:val="38"/>
          <w:sz w:val="48"/>
        </w:rPr>
        <w:t>стр”</w:t>
      </w:r>
    </w:p>
    <w:p w:rsidR="007C19F4" w:rsidRPr="007C19F4" w:rsidRDefault="007C19F4">
      <w:pPr>
        <w:rPr>
          <w:sz w:val="24"/>
          <w:szCs w:val="24"/>
        </w:rPr>
      </w:pPr>
    </w:p>
    <w:p w:rsidR="007C19F4" w:rsidRPr="00F138A9" w:rsidRDefault="007C19F4">
      <w:pPr>
        <w:rPr>
          <w:sz w:val="24"/>
          <w:szCs w:val="24"/>
        </w:rPr>
      </w:pPr>
    </w:p>
    <w:p w:rsidR="001429DA" w:rsidRPr="00F138A9" w:rsidRDefault="007C19F4" w:rsidP="007C19F4">
      <w:pPr>
        <w:jc w:val="center"/>
        <w:rPr>
          <w:sz w:val="24"/>
          <w:szCs w:val="24"/>
          <w:lang w:val="uk-UA"/>
        </w:rPr>
      </w:pPr>
      <w:r w:rsidRPr="00F138A9">
        <w:rPr>
          <w:sz w:val="24"/>
          <w:szCs w:val="24"/>
        </w:rPr>
        <w:t xml:space="preserve">Шановний </w:t>
      </w:r>
      <w:r w:rsidRPr="00F138A9">
        <w:rPr>
          <w:sz w:val="24"/>
          <w:szCs w:val="24"/>
          <w:lang w:val="uk-UA"/>
        </w:rPr>
        <w:t>Альберт Олексійович!</w:t>
      </w:r>
    </w:p>
    <w:p w:rsidR="007C19F4" w:rsidRPr="00F138A9" w:rsidRDefault="007C19F4">
      <w:pPr>
        <w:rPr>
          <w:sz w:val="24"/>
          <w:szCs w:val="24"/>
          <w:lang w:val="uk-UA"/>
        </w:rPr>
      </w:pPr>
      <w:r w:rsidRPr="00F138A9">
        <w:rPr>
          <w:sz w:val="24"/>
          <w:szCs w:val="24"/>
          <w:lang w:val="uk-UA"/>
        </w:rPr>
        <w:tab/>
      </w:r>
    </w:p>
    <w:p w:rsidR="007C19F4" w:rsidRPr="00F138A9" w:rsidRDefault="007C19F4" w:rsidP="00D06CB0">
      <w:pPr>
        <w:ind w:firstLine="708"/>
        <w:jc w:val="both"/>
        <w:rPr>
          <w:sz w:val="24"/>
          <w:szCs w:val="24"/>
          <w:lang w:val="uk-UA"/>
        </w:rPr>
      </w:pPr>
      <w:r w:rsidRPr="00F138A9">
        <w:rPr>
          <w:sz w:val="24"/>
          <w:szCs w:val="24"/>
          <w:lang w:val="uk-UA"/>
        </w:rPr>
        <w:t>01.01.2024р. набуло чинності нове Положення про розкриття інформації емітентами цінних паперів, в якому, зокрема, містяться вимоги до вигляду та змісту інформації</w:t>
      </w:r>
      <w:r w:rsidR="00D06CB0" w:rsidRPr="00F138A9">
        <w:rPr>
          <w:sz w:val="24"/>
          <w:szCs w:val="24"/>
          <w:lang w:val="uk-UA"/>
        </w:rPr>
        <w:t>, що розміщується на власному вебсайті акціонерного товариства.</w:t>
      </w:r>
    </w:p>
    <w:p w:rsidR="00D06CB0" w:rsidRPr="00F138A9" w:rsidRDefault="00D06CB0" w:rsidP="00D06CB0">
      <w:pPr>
        <w:ind w:firstLine="708"/>
        <w:jc w:val="both"/>
        <w:rPr>
          <w:sz w:val="24"/>
          <w:szCs w:val="24"/>
          <w:lang w:val="uk-UA"/>
        </w:rPr>
      </w:pPr>
      <w:r w:rsidRPr="00F138A9">
        <w:rPr>
          <w:sz w:val="24"/>
          <w:szCs w:val="24"/>
          <w:lang w:val="uk-UA"/>
        </w:rPr>
        <w:t>Надсилаємо витяг з Положення для приведення вебсайту вашого товариства у відповідність до цих вимог.</w:t>
      </w:r>
    </w:p>
    <w:p w:rsidR="00D06CB0" w:rsidRPr="00F138A9" w:rsidRDefault="00D06CB0" w:rsidP="00D06CB0">
      <w:pPr>
        <w:ind w:firstLine="708"/>
        <w:jc w:val="both"/>
        <w:rPr>
          <w:sz w:val="24"/>
          <w:szCs w:val="24"/>
          <w:lang w:val="uk-UA"/>
        </w:rPr>
      </w:pPr>
      <w:r w:rsidRPr="00F138A9">
        <w:rPr>
          <w:sz w:val="24"/>
          <w:szCs w:val="24"/>
          <w:lang w:val="uk-UA"/>
        </w:rPr>
        <w:t>При необхідності надамо консультації з цього приводу розробникам вебсайту.</w:t>
      </w:r>
    </w:p>
    <w:p w:rsidR="00D06CB0" w:rsidRPr="00F138A9" w:rsidRDefault="00D06CB0" w:rsidP="00D06CB0">
      <w:pPr>
        <w:ind w:firstLine="708"/>
        <w:jc w:val="both"/>
        <w:rPr>
          <w:sz w:val="24"/>
          <w:szCs w:val="24"/>
          <w:lang w:val="uk-UA"/>
        </w:rPr>
      </w:pPr>
    </w:p>
    <w:p w:rsidR="00D06CB0" w:rsidRPr="00F138A9" w:rsidRDefault="00D06CB0" w:rsidP="00D06CB0">
      <w:pPr>
        <w:ind w:firstLine="708"/>
        <w:jc w:val="both"/>
        <w:rPr>
          <w:sz w:val="24"/>
          <w:szCs w:val="24"/>
          <w:lang w:val="uk-UA"/>
        </w:rPr>
      </w:pPr>
      <w:r w:rsidRPr="00F138A9">
        <w:rPr>
          <w:sz w:val="24"/>
          <w:szCs w:val="24"/>
          <w:lang w:val="uk-UA"/>
        </w:rPr>
        <w:t>Додаток.</w:t>
      </w:r>
    </w:p>
    <w:p w:rsidR="002C7F36" w:rsidRPr="00F138A9" w:rsidRDefault="002C7F36" w:rsidP="002C7F36">
      <w:pPr>
        <w:ind w:left="709"/>
        <w:jc w:val="both"/>
        <w:rPr>
          <w:sz w:val="24"/>
          <w:szCs w:val="24"/>
          <w:lang w:val="uk-UA"/>
        </w:rPr>
      </w:pPr>
      <w:r w:rsidRPr="00F138A9">
        <w:rPr>
          <w:sz w:val="24"/>
          <w:szCs w:val="24"/>
          <w:lang w:val="uk-UA"/>
        </w:rPr>
        <w:t>Витяг з "</w:t>
      </w:r>
      <w:r w:rsidRPr="00F138A9">
        <w:rPr>
          <w:bCs/>
          <w:sz w:val="24"/>
          <w:szCs w:val="24"/>
        </w:rPr>
        <w:t>Положення про розкриття інформації емітентами цінних паперів, а також особами, які надають забезпечення за такими цінними паперами</w:t>
      </w:r>
      <w:r w:rsidRPr="00F138A9">
        <w:rPr>
          <w:bCs/>
          <w:sz w:val="24"/>
          <w:szCs w:val="24"/>
          <w:lang w:val="uk-UA"/>
        </w:rPr>
        <w:t>" затвердженого Рішенням НКЦПФР від 06.06.23р. №608.</w:t>
      </w:r>
    </w:p>
    <w:p w:rsidR="00D06CB0" w:rsidRPr="00F138A9" w:rsidRDefault="00D06CB0" w:rsidP="00D06CB0">
      <w:pPr>
        <w:ind w:firstLine="708"/>
        <w:jc w:val="both"/>
        <w:rPr>
          <w:sz w:val="24"/>
          <w:szCs w:val="24"/>
          <w:lang w:val="uk-UA"/>
        </w:rPr>
      </w:pPr>
    </w:p>
    <w:p w:rsidR="00D06CB0" w:rsidRPr="00F138A9" w:rsidRDefault="00D06CB0" w:rsidP="00D06CB0">
      <w:pPr>
        <w:ind w:firstLine="708"/>
        <w:jc w:val="both"/>
        <w:rPr>
          <w:sz w:val="24"/>
          <w:szCs w:val="24"/>
          <w:lang w:val="uk-UA"/>
        </w:rPr>
      </w:pPr>
    </w:p>
    <w:p w:rsidR="00D06CB0" w:rsidRPr="00F138A9" w:rsidRDefault="002C7F36" w:rsidP="00D06CB0">
      <w:pPr>
        <w:ind w:firstLine="708"/>
        <w:jc w:val="both"/>
        <w:rPr>
          <w:sz w:val="24"/>
          <w:szCs w:val="24"/>
          <w:lang w:val="uk-UA"/>
        </w:rPr>
      </w:pPr>
      <w:r w:rsidRPr="00F138A9">
        <w:rPr>
          <w:sz w:val="24"/>
          <w:szCs w:val="24"/>
          <w:lang w:val="uk-UA"/>
        </w:rPr>
        <w:t>З повагою,</w:t>
      </w:r>
    </w:p>
    <w:p w:rsidR="002C7F36" w:rsidRPr="00F138A9" w:rsidRDefault="002C7F36" w:rsidP="00D06CB0">
      <w:pPr>
        <w:ind w:firstLine="708"/>
        <w:jc w:val="both"/>
        <w:rPr>
          <w:sz w:val="24"/>
          <w:szCs w:val="24"/>
          <w:lang w:val="uk-UA"/>
        </w:rPr>
      </w:pPr>
    </w:p>
    <w:p w:rsidR="00D06CB0" w:rsidRPr="00F138A9" w:rsidRDefault="00D06CB0" w:rsidP="00D06CB0">
      <w:pPr>
        <w:ind w:firstLine="708"/>
        <w:jc w:val="both"/>
        <w:rPr>
          <w:sz w:val="24"/>
          <w:szCs w:val="24"/>
          <w:lang w:val="uk-UA"/>
        </w:rPr>
      </w:pPr>
      <w:r w:rsidRPr="00F138A9">
        <w:rPr>
          <w:sz w:val="24"/>
          <w:szCs w:val="24"/>
          <w:lang w:val="uk-UA"/>
        </w:rPr>
        <w:tab/>
      </w:r>
      <w:r w:rsidRPr="00F138A9">
        <w:rPr>
          <w:sz w:val="24"/>
          <w:szCs w:val="24"/>
          <w:lang w:val="uk-UA"/>
        </w:rPr>
        <w:tab/>
      </w:r>
      <w:r w:rsidRPr="00F138A9">
        <w:rPr>
          <w:sz w:val="24"/>
          <w:szCs w:val="24"/>
          <w:lang w:val="uk-UA"/>
        </w:rPr>
        <w:tab/>
        <w:t>Директор</w:t>
      </w:r>
      <w:r w:rsidRPr="00F138A9">
        <w:rPr>
          <w:sz w:val="24"/>
          <w:szCs w:val="24"/>
          <w:lang w:val="uk-UA"/>
        </w:rPr>
        <w:tab/>
      </w:r>
      <w:r w:rsidRPr="00F138A9">
        <w:rPr>
          <w:sz w:val="24"/>
          <w:szCs w:val="24"/>
          <w:lang w:val="uk-UA"/>
        </w:rPr>
        <w:tab/>
      </w:r>
      <w:r w:rsidRPr="00F138A9">
        <w:rPr>
          <w:sz w:val="24"/>
          <w:szCs w:val="24"/>
          <w:lang w:val="uk-UA"/>
        </w:rPr>
        <w:tab/>
        <w:t>Лутченко І.М.</w:t>
      </w:r>
    </w:p>
    <w:p w:rsidR="00F138A9" w:rsidRPr="00F138A9" w:rsidRDefault="00F138A9" w:rsidP="00D06CB0">
      <w:pPr>
        <w:ind w:firstLine="708"/>
        <w:jc w:val="both"/>
        <w:rPr>
          <w:sz w:val="24"/>
          <w:szCs w:val="24"/>
          <w:lang w:val="uk-UA"/>
        </w:rPr>
      </w:pPr>
    </w:p>
    <w:p w:rsidR="00F138A9" w:rsidRPr="00F138A9" w:rsidRDefault="00F138A9">
      <w:pPr>
        <w:rPr>
          <w:sz w:val="24"/>
          <w:szCs w:val="24"/>
          <w:lang w:val="uk-UA"/>
        </w:rPr>
      </w:pPr>
      <w:r w:rsidRPr="00F138A9">
        <w:rPr>
          <w:sz w:val="24"/>
          <w:szCs w:val="24"/>
          <w:lang w:val="uk-UA"/>
        </w:rPr>
        <w:br w:type="page"/>
      </w:r>
    </w:p>
    <w:p w:rsidR="00F138A9" w:rsidRPr="00F138A9" w:rsidRDefault="00F138A9" w:rsidP="00F138A9">
      <w:pPr>
        <w:pStyle w:val="Default"/>
      </w:pPr>
    </w:p>
    <w:p w:rsidR="00F138A9" w:rsidRPr="00F138A9" w:rsidRDefault="00F138A9" w:rsidP="00F138A9">
      <w:pPr>
        <w:pStyle w:val="Default"/>
        <w:ind w:left="6521"/>
      </w:pPr>
      <w:r w:rsidRPr="00F138A9">
        <w:t xml:space="preserve"> ЗАТВЕРДЖЕНО </w:t>
      </w:r>
    </w:p>
    <w:p w:rsidR="00F138A9" w:rsidRPr="00F138A9" w:rsidRDefault="00F138A9" w:rsidP="00F138A9">
      <w:pPr>
        <w:pStyle w:val="Default"/>
        <w:ind w:left="6521"/>
      </w:pPr>
      <w:r w:rsidRPr="00F138A9">
        <w:t xml:space="preserve">Рішення Національної комісії з цінних паперів та фондового ринку </w:t>
      </w:r>
    </w:p>
    <w:p w:rsidR="00F138A9" w:rsidRPr="00F138A9" w:rsidRDefault="00F138A9" w:rsidP="00F138A9">
      <w:pPr>
        <w:pStyle w:val="Default"/>
        <w:ind w:left="6521"/>
      </w:pPr>
      <w:r w:rsidRPr="00F138A9">
        <w:t xml:space="preserve">06 червня 2023 року № 608 </w:t>
      </w:r>
    </w:p>
    <w:p w:rsidR="00F138A9" w:rsidRPr="00F138A9" w:rsidRDefault="00F138A9" w:rsidP="00F138A9">
      <w:pPr>
        <w:rPr>
          <w:b/>
          <w:bCs/>
          <w:sz w:val="24"/>
          <w:szCs w:val="24"/>
        </w:rPr>
      </w:pPr>
    </w:p>
    <w:p w:rsidR="00F138A9" w:rsidRPr="00F138A9" w:rsidRDefault="00F138A9" w:rsidP="00F138A9">
      <w:pPr>
        <w:jc w:val="center"/>
        <w:rPr>
          <w:sz w:val="24"/>
          <w:szCs w:val="24"/>
        </w:rPr>
      </w:pPr>
      <w:r w:rsidRPr="00F138A9">
        <w:rPr>
          <w:b/>
          <w:bCs/>
          <w:sz w:val="24"/>
          <w:szCs w:val="24"/>
        </w:rPr>
        <w:t>Положення про розкриття інформації емітентами цінних паперів, а також особами, які надають забезпечення за такими цінними паперами</w:t>
      </w:r>
    </w:p>
    <w:p w:rsidR="00F138A9" w:rsidRPr="00F138A9" w:rsidRDefault="00F138A9" w:rsidP="00F138A9">
      <w:pPr>
        <w:pStyle w:val="Default"/>
      </w:pPr>
    </w:p>
    <w:p w:rsidR="00F138A9" w:rsidRPr="00F138A9" w:rsidRDefault="00F138A9" w:rsidP="00F138A9">
      <w:pPr>
        <w:pStyle w:val="Default"/>
        <w:jc w:val="both"/>
      </w:pPr>
      <w:r w:rsidRPr="00F138A9">
        <w:t xml:space="preserve">7. До регульованої інформації, що підлягає розкриттю, згідно вимог цього Положення належить: </w:t>
      </w:r>
    </w:p>
    <w:p w:rsidR="00F138A9" w:rsidRPr="00F138A9" w:rsidRDefault="00F138A9" w:rsidP="00F138A9">
      <w:pPr>
        <w:pStyle w:val="Default"/>
        <w:jc w:val="both"/>
      </w:pPr>
      <w:r w:rsidRPr="00F138A9">
        <w:t xml:space="preserve">1) регулярна інформація; </w:t>
      </w:r>
    </w:p>
    <w:p w:rsidR="00F138A9" w:rsidRPr="00F138A9" w:rsidRDefault="00F138A9" w:rsidP="00F138A9">
      <w:pPr>
        <w:pStyle w:val="Default"/>
        <w:jc w:val="both"/>
      </w:pPr>
      <w:r w:rsidRPr="00F138A9">
        <w:t xml:space="preserve">2) особлива інформація; </w:t>
      </w:r>
    </w:p>
    <w:p w:rsidR="00F138A9" w:rsidRPr="00F138A9" w:rsidRDefault="00F138A9" w:rsidP="00F138A9">
      <w:pPr>
        <w:pStyle w:val="Default"/>
        <w:jc w:val="both"/>
      </w:pPr>
      <w:r w:rsidRPr="00F138A9">
        <w:t xml:space="preserve">3) інша інформація, передбачена розділом VII цього Положення. </w:t>
      </w:r>
    </w:p>
    <w:p w:rsidR="00F138A9" w:rsidRPr="00F138A9" w:rsidRDefault="00F138A9" w:rsidP="00F138A9">
      <w:pPr>
        <w:pStyle w:val="Default"/>
        <w:jc w:val="both"/>
      </w:pPr>
    </w:p>
    <w:p w:rsidR="00F138A9" w:rsidRPr="00F138A9" w:rsidRDefault="00F138A9" w:rsidP="00F138A9">
      <w:pPr>
        <w:pStyle w:val="Default"/>
        <w:jc w:val="both"/>
      </w:pPr>
      <w:r w:rsidRPr="00F138A9">
        <w:t xml:space="preserve">15. Регульована інформація розкривається: </w:t>
      </w:r>
    </w:p>
    <w:p w:rsidR="00F138A9" w:rsidRPr="00F138A9" w:rsidRDefault="00F138A9" w:rsidP="00F138A9">
      <w:pPr>
        <w:pStyle w:val="Default"/>
        <w:jc w:val="both"/>
      </w:pPr>
      <w:r w:rsidRPr="00F138A9">
        <w:t>1) державною мовою</w:t>
      </w:r>
      <w:r w:rsidRPr="00F138A9">
        <w:rPr>
          <w:lang w:val="uk-UA"/>
        </w:rPr>
        <w:t>…</w:t>
      </w:r>
      <w:r w:rsidRPr="00F138A9">
        <w:t xml:space="preserve">; </w:t>
      </w:r>
    </w:p>
    <w:p w:rsidR="00F138A9" w:rsidRPr="00F138A9" w:rsidRDefault="00F138A9" w:rsidP="00F138A9">
      <w:pPr>
        <w:pStyle w:val="Default"/>
      </w:pPr>
    </w:p>
    <w:p w:rsidR="00F138A9" w:rsidRPr="00F138A9" w:rsidRDefault="00F138A9" w:rsidP="00F138A9">
      <w:pPr>
        <w:pStyle w:val="Default"/>
        <w:jc w:val="both"/>
      </w:pPr>
      <w:r w:rsidRPr="00F138A9">
        <w:t xml:space="preserve">18. Емітенти зобов’язані розміщувати на власному вебсайті регульовану інформацію </w:t>
      </w:r>
      <w:r w:rsidRPr="00F138A9">
        <w:rPr>
          <w:lang w:val="uk-UA"/>
        </w:rPr>
        <w:t>…</w:t>
      </w:r>
      <w:r w:rsidRPr="00F138A9">
        <w:t xml:space="preserve">. </w:t>
      </w:r>
    </w:p>
    <w:p w:rsidR="00F138A9" w:rsidRPr="00F138A9" w:rsidRDefault="00F138A9" w:rsidP="00F138A9">
      <w:pPr>
        <w:pStyle w:val="Default"/>
        <w:jc w:val="both"/>
      </w:pPr>
      <w:r w:rsidRPr="00F138A9">
        <w:t xml:space="preserve">Емітент забезпечує вільний доступ до регульованої інформації на власному вебсайті та не може обмежувати доступ або встановлювати плату за доступ до інформації, що підлягає обов’язковому розкриттю на такому вебсайті. </w:t>
      </w:r>
    </w:p>
    <w:p w:rsidR="00F138A9" w:rsidRPr="00F138A9" w:rsidRDefault="00F138A9" w:rsidP="00F138A9">
      <w:pPr>
        <w:pStyle w:val="Default"/>
        <w:jc w:val="both"/>
        <w:rPr>
          <w:b/>
          <w:i/>
          <w:color w:val="auto"/>
        </w:rPr>
      </w:pPr>
      <w:r w:rsidRPr="00F138A9">
        <w:t xml:space="preserve">Регульована інформація емітента повинна розміщуватися на вебсайті у спосіб, який забезпечує її легкий та зрозумілий пошук. Вся інформація, яка розкривається відповідно до вимог цього Положення, розміщується у розділі під назвою </w:t>
      </w:r>
      <w:r w:rsidRPr="00F138A9">
        <w:rPr>
          <w:b/>
          <w:i/>
        </w:rPr>
        <w:t>«Інформація для акціонерів та стейкхолдерів».</w:t>
      </w:r>
      <w:r w:rsidRPr="00F138A9">
        <w:t xml:space="preserve"> </w:t>
      </w:r>
      <w:r w:rsidRPr="00F138A9">
        <w:rPr>
          <w:b/>
          <w:i/>
        </w:rPr>
        <w:t xml:space="preserve">Посилання на сторінку </w:t>
      </w:r>
      <w:proofErr w:type="gramStart"/>
      <w:r w:rsidRPr="00F138A9">
        <w:rPr>
          <w:b/>
          <w:i/>
        </w:rPr>
        <w:t xml:space="preserve">для </w:t>
      </w:r>
      <w:r w:rsidRPr="00F138A9">
        <w:rPr>
          <w:b/>
          <w:i/>
          <w:color w:val="auto"/>
        </w:rPr>
        <w:t>переходу</w:t>
      </w:r>
      <w:proofErr w:type="gramEnd"/>
      <w:r w:rsidRPr="00F138A9">
        <w:rPr>
          <w:b/>
          <w:i/>
          <w:color w:val="auto"/>
        </w:rPr>
        <w:t xml:space="preserve"> до цього розділу розміщується на головній (стартовій) сторінці вебсайту емітента. </w:t>
      </w:r>
    </w:p>
    <w:p w:rsidR="00F138A9" w:rsidRPr="00F138A9" w:rsidRDefault="00F138A9" w:rsidP="00F138A9">
      <w:pPr>
        <w:pStyle w:val="Default"/>
        <w:jc w:val="both"/>
        <w:rPr>
          <w:color w:val="auto"/>
        </w:rPr>
      </w:pPr>
      <w:r w:rsidRPr="00F138A9">
        <w:rPr>
          <w:color w:val="auto"/>
        </w:rPr>
        <w:t xml:space="preserve">Інформація, яка розкривається відповідно до вимог цього Положення та розміщується на власному вебсайті емітента у розділі під назвою «Інформація для акціонерів та стейкхолдерів», розподіляється на три види: </w:t>
      </w:r>
    </w:p>
    <w:p w:rsidR="00F138A9" w:rsidRPr="00F138A9" w:rsidRDefault="00F138A9" w:rsidP="00F138A9">
      <w:pPr>
        <w:pStyle w:val="Default"/>
        <w:jc w:val="both"/>
        <w:rPr>
          <w:b/>
          <w:i/>
          <w:color w:val="auto"/>
        </w:rPr>
      </w:pPr>
      <w:r w:rsidRPr="00F138A9">
        <w:rPr>
          <w:b/>
          <w:i/>
          <w:color w:val="auto"/>
        </w:rPr>
        <w:t xml:space="preserve">регулярна інформація; </w:t>
      </w:r>
    </w:p>
    <w:p w:rsidR="00F138A9" w:rsidRPr="00F138A9" w:rsidRDefault="00F138A9" w:rsidP="00F138A9">
      <w:pPr>
        <w:pStyle w:val="Default"/>
        <w:jc w:val="both"/>
        <w:rPr>
          <w:b/>
          <w:i/>
          <w:color w:val="auto"/>
          <w:lang w:val="en-US"/>
        </w:rPr>
      </w:pPr>
      <w:r w:rsidRPr="00F138A9">
        <w:rPr>
          <w:b/>
          <w:i/>
          <w:color w:val="auto"/>
        </w:rPr>
        <w:t>особлива інформація;</w:t>
      </w:r>
    </w:p>
    <w:p w:rsidR="00F138A9" w:rsidRPr="00F138A9" w:rsidRDefault="00F138A9" w:rsidP="00F138A9">
      <w:pPr>
        <w:pStyle w:val="Default"/>
        <w:jc w:val="both"/>
        <w:rPr>
          <w:color w:val="auto"/>
        </w:rPr>
      </w:pPr>
      <w:r w:rsidRPr="00F138A9">
        <w:rPr>
          <w:b/>
          <w:i/>
          <w:color w:val="auto"/>
        </w:rPr>
        <w:t>інша інформація.</w:t>
      </w:r>
      <w:r w:rsidRPr="00F138A9">
        <w:rPr>
          <w:color w:val="auto"/>
        </w:rPr>
        <w:t xml:space="preserve"> </w:t>
      </w:r>
    </w:p>
    <w:p w:rsidR="00F138A9" w:rsidRPr="00F138A9" w:rsidRDefault="00F138A9" w:rsidP="00F138A9">
      <w:pPr>
        <w:pStyle w:val="Default"/>
        <w:jc w:val="both"/>
        <w:rPr>
          <w:color w:val="auto"/>
        </w:rPr>
      </w:pPr>
      <w:r w:rsidRPr="00F138A9">
        <w:rPr>
          <w:color w:val="auto"/>
        </w:rPr>
        <w:t xml:space="preserve">Інформація підлягає оприлюдненню емітентом на власному вебсайті у формі електронного документа, що базується на кваліфікованому сертифікаті відкритого ключа уповноваженої особи емітента / особи, яка надає забезпечення, та придатний для: </w:t>
      </w:r>
    </w:p>
    <w:p w:rsidR="00F138A9" w:rsidRPr="00F138A9" w:rsidRDefault="00F138A9" w:rsidP="00F138A9">
      <w:pPr>
        <w:pStyle w:val="Default"/>
        <w:jc w:val="both"/>
        <w:rPr>
          <w:color w:val="auto"/>
        </w:rPr>
      </w:pPr>
      <w:r w:rsidRPr="00F138A9">
        <w:rPr>
          <w:color w:val="auto"/>
        </w:rPr>
        <w:t xml:space="preserve">сприйняття людиною; </w:t>
      </w:r>
    </w:p>
    <w:p w:rsidR="00F138A9" w:rsidRPr="00F138A9" w:rsidRDefault="00F138A9" w:rsidP="00F138A9">
      <w:pPr>
        <w:pStyle w:val="Default"/>
        <w:jc w:val="both"/>
        <w:rPr>
          <w:color w:val="auto"/>
        </w:rPr>
      </w:pPr>
      <w:r w:rsidRPr="00F138A9">
        <w:rPr>
          <w:color w:val="auto"/>
        </w:rPr>
        <w:t xml:space="preserve">друку на папері формату А4; </w:t>
      </w:r>
    </w:p>
    <w:p w:rsidR="00F138A9" w:rsidRPr="00F138A9" w:rsidRDefault="00F138A9" w:rsidP="00F138A9">
      <w:pPr>
        <w:pStyle w:val="Default"/>
        <w:jc w:val="both"/>
        <w:rPr>
          <w:color w:val="auto"/>
        </w:rPr>
      </w:pPr>
      <w:r w:rsidRPr="00F138A9">
        <w:rPr>
          <w:color w:val="auto"/>
        </w:rPr>
        <w:t xml:space="preserve">можливості контекстного пошуку та копіювання будь-якої розміщеної на ньому інформації (у форматі DOC (DOCX) або PDF); </w:t>
      </w:r>
    </w:p>
    <w:p w:rsidR="00F138A9" w:rsidRPr="00F138A9" w:rsidRDefault="00F138A9" w:rsidP="00F138A9">
      <w:pPr>
        <w:pStyle w:val="Default"/>
        <w:jc w:val="both"/>
        <w:rPr>
          <w:color w:val="auto"/>
        </w:rPr>
      </w:pPr>
      <w:r w:rsidRPr="00F138A9">
        <w:rPr>
          <w:color w:val="auto"/>
        </w:rPr>
        <w:t xml:space="preserve">завантаження; </w:t>
      </w:r>
    </w:p>
    <w:p w:rsidR="00F138A9" w:rsidRPr="00F138A9" w:rsidRDefault="00F138A9" w:rsidP="00F138A9">
      <w:pPr>
        <w:pStyle w:val="Default"/>
        <w:jc w:val="both"/>
        <w:rPr>
          <w:color w:val="auto"/>
        </w:rPr>
      </w:pPr>
      <w:r w:rsidRPr="00F138A9">
        <w:rPr>
          <w:color w:val="auto"/>
        </w:rPr>
        <w:t xml:space="preserve">зчитування кваліфікованого сертифіката відкритого ключа уповноваженої особи емітента / особи, яка надає забезпечення. </w:t>
      </w:r>
    </w:p>
    <w:p w:rsidR="00F138A9" w:rsidRPr="00F138A9" w:rsidRDefault="00F138A9" w:rsidP="00F138A9">
      <w:pPr>
        <w:pStyle w:val="Default"/>
        <w:jc w:val="both"/>
        <w:rPr>
          <w:color w:val="auto"/>
        </w:rPr>
      </w:pPr>
      <w:r w:rsidRPr="00F138A9">
        <w:rPr>
          <w:color w:val="auto"/>
        </w:rPr>
        <w:t xml:space="preserve">Інформація також розміщується у машинозчитувальному форматі (XML або XBRL) з накладенням електронного підпису уповноваженої особи емітента / особи, яка надає забезпечення, що базується на кваліфікованому сертифікаті відкритого ключа. </w:t>
      </w:r>
    </w:p>
    <w:p w:rsidR="00F138A9" w:rsidRPr="00F138A9" w:rsidRDefault="00F138A9" w:rsidP="00F138A9">
      <w:pPr>
        <w:jc w:val="both"/>
        <w:rPr>
          <w:sz w:val="24"/>
          <w:szCs w:val="24"/>
        </w:rPr>
      </w:pPr>
      <w:r w:rsidRPr="00F138A9">
        <w:rPr>
          <w:sz w:val="24"/>
          <w:szCs w:val="24"/>
        </w:rPr>
        <w:t>Регульована інформація залишається в публічному доступі на вебсайті емітента протягом не менше як 10 років з дати її розкриття.</w:t>
      </w:r>
    </w:p>
    <w:p w:rsidR="00F138A9" w:rsidRPr="00F138A9" w:rsidRDefault="00F138A9" w:rsidP="00F138A9">
      <w:pPr>
        <w:jc w:val="center"/>
        <w:rPr>
          <w:b/>
          <w:bCs/>
          <w:sz w:val="24"/>
          <w:szCs w:val="24"/>
        </w:rPr>
      </w:pPr>
    </w:p>
    <w:p w:rsidR="00F138A9" w:rsidRPr="00F138A9" w:rsidRDefault="00F138A9" w:rsidP="00F138A9">
      <w:pPr>
        <w:jc w:val="center"/>
        <w:rPr>
          <w:b/>
          <w:bCs/>
          <w:sz w:val="24"/>
          <w:szCs w:val="24"/>
        </w:rPr>
      </w:pPr>
      <w:r w:rsidRPr="00F138A9">
        <w:rPr>
          <w:b/>
          <w:bCs/>
          <w:sz w:val="24"/>
          <w:szCs w:val="24"/>
        </w:rPr>
        <w:t>VІІ. Розкриття емітентами іншої інформації</w:t>
      </w:r>
    </w:p>
    <w:p w:rsidR="00F138A9" w:rsidRPr="00F138A9" w:rsidRDefault="00F138A9" w:rsidP="00F138A9">
      <w:pPr>
        <w:pStyle w:val="Default"/>
      </w:pPr>
      <w:r w:rsidRPr="00F138A9">
        <w:rPr>
          <w:b/>
          <w:bCs/>
        </w:rPr>
        <w:t xml:space="preserve">3. Розкриття інформації про заплановане проведення (скликання) загальних зборів </w:t>
      </w:r>
    </w:p>
    <w:p w:rsidR="00F138A9" w:rsidRPr="00F138A9" w:rsidRDefault="00F138A9" w:rsidP="00F138A9">
      <w:pPr>
        <w:pStyle w:val="Default"/>
        <w:spacing w:after="156"/>
        <w:jc w:val="both"/>
      </w:pPr>
      <w:r w:rsidRPr="00F138A9">
        <w:t xml:space="preserve">107. Акціонерне товариство не пізніше ніж за 30 днів (якщо інший строк не визначений законом) до дати проведення (скликання) загальних зборів акціонерного товариства розміщує повідомлення про проведення загальних зборів </w:t>
      </w:r>
      <w:r w:rsidRPr="00F138A9">
        <w:rPr>
          <w:lang w:val="uk-UA"/>
        </w:rPr>
        <w:t>…</w:t>
      </w:r>
      <w:r w:rsidRPr="00F138A9">
        <w:t xml:space="preserve">. </w:t>
      </w:r>
    </w:p>
    <w:p w:rsidR="00F138A9" w:rsidRPr="00F138A9" w:rsidRDefault="00F138A9" w:rsidP="00F138A9">
      <w:pPr>
        <w:jc w:val="both"/>
        <w:rPr>
          <w:sz w:val="24"/>
          <w:szCs w:val="24"/>
        </w:rPr>
      </w:pPr>
    </w:p>
    <w:p w:rsidR="00F138A9" w:rsidRPr="00F138A9" w:rsidRDefault="00F138A9" w:rsidP="00F138A9">
      <w:pPr>
        <w:shd w:val="clear" w:color="auto" w:fill="FFFFFF"/>
        <w:jc w:val="both"/>
        <w:rPr>
          <w:color w:val="333333"/>
          <w:sz w:val="24"/>
          <w:szCs w:val="24"/>
          <w:lang w:eastAsia="ru-RU"/>
        </w:rPr>
      </w:pPr>
      <w:r w:rsidRPr="00F138A9">
        <w:rPr>
          <w:color w:val="333333"/>
          <w:sz w:val="24"/>
          <w:szCs w:val="24"/>
          <w:lang w:eastAsia="ru-RU"/>
        </w:rPr>
        <w:lastRenderedPageBreak/>
        <w:t xml:space="preserve">119. Обов’язок розміщення акціонерними товариствами інформації, визначеної </w:t>
      </w:r>
      <w:r w:rsidRPr="00F138A9">
        <w:rPr>
          <w:b/>
          <w:i/>
          <w:color w:val="333333"/>
          <w:sz w:val="24"/>
          <w:szCs w:val="24"/>
          <w:lang w:eastAsia="ru-RU"/>
        </w:rPr>
        <w:t>пунктом 123</w:t>
      </w:r>
      <w:r w:rsidRPr="00F138A9">
        <w:rPr>
          <w:color w:val="333333"/>
          <w:sz w:val="24"/>
          <w:szCs w:val="24"/>
          <w:lang w:eastAsia="ru-RU"/>
        </w:rPr>
        <w:t xml:space="preserve"> цього Положення, на власному вебсайті поширюється на такі категорії акціонерних товариств:</w:t>
      </w:r>
    </w:p>
    <w:p w:rsidR="00F138A9" w:rsidRPr="00F138A9" w:rsidRDefault="00F138A9" w:rsidP="00F138A9">
      <w:pPr>
        <w:shd w:val="clear" w:color="auto" w:fill="FFFFFF"/>
        <w:ind w:firstLine="450"/>
        <w:jc w:val="both"/>
        <w:rPr>
          <w:color w:val="333333"/>
          <w:sz w:val="24"/>
          <w:szCs w:val="24"/>
          <w:lang w:eastAsia="ru-RU"/>
        </w:rPr>
      </w:pPr>
      <w:bookmarkStart w:id="0" w:name="n620"/>
      <w:bookmarkStart w:id="1" w:name="n622"/>
      <w:bookmarkEnd w:id="0"/>
      <w:bookmarkEnd w:id="1"/>
      <w:r w:rsidRPr="00F138A9">
        <w:rPr>
          <w:color w:val="333333"/>
          <w:sz w:val="24"/>
          <w:szCs w:val="24"/>
          <w:lang w:eastAsia="ru-RU"/>
        </w:rPr>
        <w:t xml:space="preserve">3) </w:t>
      </w:r>
      <w:r w:rsidRPr="00F138A9">
        <w:rPr>
          <w:b/>
          <w:i/>
          <w:color w:val="333333"/>
          <w:sz w:val="24"/>
          <w:szCs w:val="24"/>
          <w:lang w:eastAsia="ru-RU"/>
        </w:rPr>
        <w:t>товариства, у яких державна … частка становить … 50 і більше відсотків участі у статутному капіталі (у випадку опосередкованого володіння).</w:t>
      </w:r>
    </w:p>
    <w:p w:rsidR="00F138A9" w:rsidRPr="00F138A9" w:rsidRDefault="00F138A9" w:rsidP="00F138A9">
      <w:pPr>
        <w:shd w:val="clear" w:color="auto" w:fill="FFFFFF"/>
        <w:spacing w:after="150"/>
        <w:jc w:val="both"/>
        <w:rPr>
          <w:color w:val="333333"/>
          <w:sz w:val="24"/>
          <w:szCs w:val="24"/>
          <w:lang w:eastAsia="ru-RU"/>
        </w:rPr>
      </w:pPr>
    </w:p>
    <w:p w:rsidR="00F138A9" w:rsidRPr="00F138A9" w:rsidRDefault="00F138A9" w:rsidP="00F138A9">
      <w:pPr>
        <w:shd w:val="clear" w:color="auto" w:fill="FFFFFF"/>
        <w:jc w:val="both"/>
        <w:rPr>
          <w:b/>
          <w:i/>
          <w:color w:val="333333"/>
          <w:sz w:val="24"/>
          <w:szCs w:val="24"/>
          <w:lang w:eastAsia="ru-RU"/>
        </w:rPr>
      </w:pPr>
      <w:r w:rsidRPr="00F138A9">
        <w:rPr>
          <w:b/>
          <w:i/>
          <w:color w:val="333333"/>
          <w:sz w:val="24"/>
          <w:szCs w:val="24"/>
          <w:lang w:eastAsia="ru-RU"/>
        </w:rPr>
        <w:t>123. Акціонерне товариство розміщує на власному вебсайті таку інформацію:</w:t>
      </w:r>
    </w:p>
    <w:p w:rsidR="00F138A9" w:rsidRPr="00F138A9" w:rsidRDefault="00F138A9" w:rsidP="00F138A9">
      <w:pPr>
        <w:shd w:val="clear" w:color="auto" w:fill="FFFFFF"/>
        <w:ind w:firstLine="450"/>
        <w:jc w:val="both"/>
        <w:rPr>
          <w:color w:val="333333"/>
          <w:sz w:val="24"/>
          <w:szCs w:val="24"/>
          <w:lang w:eastAsia="ru-RU"/>
        </w:rPr>
      </w:pPr>
      <w:bookmarkStart w:id="2" w:name="n628"/>
      <w:bookmarkEnd w:id="2"/>
      <w:r w:rsidRPr="00F138A9">
        <w:rPr>
          <w:color w:val="333333"/>
          <w:sz w:val="24"/>
          <w:szCs w:val="24"/>
          <w:lang w:eastAsia="ru-RU"/>
        </w:rPr>
        <w:t>1) статут товариства…;</w:t>
      </w:r>
    </w:p>
    <w:p w:rsidR="00F138A9" w:rsidRPr="00F138A9" w:rsidRDefault="00F138A9" w:rsidP="00F138A9">
      <w:pPr>
        <w:shd w:val="clear" w:color="auto" w:fill="FFFFFF"/>
        <w:ind w:firstLine="450"/>
        <w:jc w:val="both"/>
        <w:rPr>
          <w:color w:val="333333"/>
          <w:sz w:val="24"/>
          <w:szCs w:val="24"/>
          <w:lang w:eastAsia="ru-RU"/>
        </w:rPr>
      </w:pPr>
      <w:bookmarkStart w:id="3" w:name="n629"/>
      <w:bookmarkEnd w:id="3"/>
      <w:r w:rsidRPr="00F138A9">
        <w:rPr>
          <w:color w:val="333333"/>
          <w:sz w:val="24"/>
          <w:szCs w:val="24"/>
          <w:lang w:eastAsia="ru-RU"/>
        </w:rPr>
        <w:t>…</w:t>
      </w:r>
    </w:p>
    <w:p w:rsidR="00F138A9" w:rsidRPr="00F138A9" w:rsidRDefault="00F138A9" w:rsidP="00F138A9">
      <w:pPr>
        <w:shd w:val="clear" w:color="auto" w:fill="FFFFFF"/>
        <w:ind w:firstLine="450"/>
        <w:jc w:val="both"/>
        <w:rPr>
          <w:color w:val="333333"/>
          <w:sz w:val="24"/>
          <w:szCs w:val="24"/>
          <w:lang w:eastAsia="ru-RU"/>
        </w:rPr>
      </w:pPr>
      <w:bookmarkStart w:id="4" w:name="n630"/>
      <w:bookmarkEnd w:id="4"/>
      <w:r w:rsidRPr="00F138A9">
        <w:rPr>
          <w:color w:val="333333"/>
          <w:sz w:val="24"/>
          <w:szCs w:val="24"/>
          <w:lang w:eastAsia="ru-RU"/>
        </w:rPr>
        <w:t>3) структуру власності товариства, оформлену відповідно до вимог передбачених цим Положенням;</w:t>
      </w:r>
    </w:p>
    <w:p w:rsidR="00F138A9" w:rsidRPr="00F138A9" w:rsidRDefault="00F138A9" w:rsidP="00F138A9">
      <w:pPr>
        <w:shd w:val="clear" w:color="auto" w:fill="FFFFFF"/>
        <w:ind w:firstLine="450"/>
        <w:jc w:val="both"/>
        <w:rPr>
          <w:color w:val="333333"/>
          <w:sz w:val="24"/>
          <w:szCs w:val="24"/>
          <w:lang w:eastAsia="ru-RU"/>
        </w:rPr>
      </w:pPr>
      <w:bookmarkStart w:id="5" w:name="n631"/>
      <w:bookmarkEnd w:id="5"/>
      <w:r w:rsidRPr="00F138A9">
        <w:rPr>
          <w:color w:val="333333"/>
          <w:sz w:val="24"/>
          <w:szCs w:val="24"/>
          <w:lang w:eastAsia="ru-RU"/>
        </w:rPr>
        <w:t>4) положення про загальні збори, раду, виконавчий орган…;</w:t>
      </w:r>
    </w:p>
    <w:p w:rsidR="00F138A9" w:rsidRPr="00F138A9" w:rsidRDefault="00F138A9" w:rsidP="00F138A9">
      <w:pPr>
        <w:shd w:val="clear" w:color="auto" w:fill="FFFFFF"/>
        <w:ind w:firstLine="450"/>
        <w:jc w:val="both"/>
        <w:rPr>
          <w:color w:val="333333"/>
          <w:sz w:val="24"/>
          <w:szCs w:val="24"/>
          <w:lang w:eastAsia="ru-RU"/>
        </w:rPr>
      </w:pPr>
      <w:bookmarkStart w:id="6" w:name="n632"/>
      <w:bookmarkStart w:id="7" w:name="n645"/>
      <w:bookmarkStart w:id="8" w:name="n647"/>
      <w:bookmarkEnd w:id="6"/>
      <w:bookmarkEnd w:id="7"/>
      <w:bookmarkEnd w:id="8"/>
      <w:r w:rsidRPr="00F138A9">
        <w:rPr>
          <w:color w:val="333333"/>
          <w:sz w:val="24"/>
          <w:szCs w:val="24"/>
          <w:lang w:eastAsia="ru-RU"/>
        </w:rPr>
        <w:t>…</w:t>
      </w:r>
    </w:p>
    <w:p w:rsidR="00F138A9" w:rsidRPr="00E57DF4" w:rsidRDefault="00F138A9" w:rsidP="00F138A9">
      <w:pPr>
        <w:shd w:val="clear" w:color="auto" w:fill="FFFFFF"/>
        <w:ind w:firstLine="450"/>
        <w:jc w:val="both"/>
        <w:rPr>
          <w:color w:val="333333"/>
          <w:sz w:val="24"/>
          <w:szCs w:val="24"/>
          <w:lang w:eastAsia="ru-RU"/>
        </w:rPr>
      </w:pPr>
      <w:r w:rsidRPr="00E57DF4">
        <w:rPr>
          <w:color w:val="333333"/>
          <w:sz w:val="24"/>
          <w:szCs w:val="24"/>
          <w:lang w:eastAsia="ru-RU"/>
        </w:rPr>
        <w:t>8) протоколи загальних зборів товариства…;</w:t>
      </w:r>
    </w:p>
    <w:p w:rsidR="00F138A9" w:rsidRPr="00E57DF4" w:rsidRDefault="00F138A9" w:rsidP="00F138A9">
      <w:pPr>
        <w:shd w:val="clear" w:color="auto" w:fill="FFFFFF"/>
        <w:ind w:firstLine="450"/>
        <w:jc w:val="both"/>
        <w:rPr>
          <w:color w:val="333333"/>
          <w:sz w:val="24"/>
          <w:szCs w:val="24"/>
          <w:lang w:val="uk-UA" w:eastAsia="ru-RU"/>
        </w:rPr>
      </w:pPr>
      <w:bookmarkStart w:id="9" w:name="n648"/>
      <w:bookmarkEnd w:id="9"/>
      <w:r w:rsidRPr="00E57DF4">
        <w:rPr>
          <w:color w:val="333333"/>
          <w:sz w:val="24"/>
          <w:szCs w:val="24"/>
          <w:lang w:eastAsia="ru-RU"/>
        </w:rPr>
        <w:t>9) річну фінансову звітність</w:t>
      </w:r>
      <w:bookmarkStart w:id="10" w:name="_GoBack"/>
      <w:bookmarkEnd w:id="10"/>
      <w:r w:rsidRPr="00E57DF4">
        <w:rPr>
          <w:color w:val="333333"/>
          <w:sz w:val="24"/>
          <w:szCs w:val="24"/>
          <w:lang w:eastAsia="ru-RU"/>
        </w:rPr>
        <w:t xml:space="preserve"> </w:t>
      </w:r>
      <w:r w:rsidR="00E57DF4" w:rsidRPr="00E57DF4">
        <w:rPr>
          <w:color w:val="333333"/>
          <w:sz w:val="24"/>
          <w:szCs w:val="24"/>
          <w:u w:val="single"/>
          <w:lang w:val="uk-UA" w:eastAsia="ru-RU"/>
        </w:rPr>
        <w:t xml:space="preserve">(відповідно до Закону України </w:t>
      </w:r>
      <w:r w:rsidR="00E57DF4" w:rsidRPr="00E57DF4">
        <w:rPr>
          <w:color w:val="333333"/>
          <w:sz w:val="24"/>
          <w:szCs w:val="24"/>
          <w:u w:val="single"/>
          <w:lang w:eastAsia="ru-RU"/>
        </w:rPr>
        <w:t>«Про бухгалтерський облік та фінансову звітність в Україні»</w:t>
      </w:r>
      <w:r w:rsidR="00E57DF4" w:rsidRPr="00E57DF4">
        <w:rPr>
          <w:color w:val="333333"/>
          <w:sz w:val="24"/>
          <w:szCs w:val="24"/>
          <w:u w:val="single"/>
          <w:lang w:val="uk-UA" w:eastAsia="ru-RU"/>
        </w:rPr>
        <w:t>)</w:t>
      </w:r>
      <w:r w:rsidR="00E57DF4" w:rsidRPr="00E57DF4">
        <w:rPr>
          <w:color w:val="333333"/>
          <w:sz w:val="24"/>
          <w:szCs w:val="24"/>
          <w:lang w:val="uk-UA" w:eastAsia="ru-RU"/>
        </w:rPr>
        <w:t>;</w:t>
      </w:r>
    </w:p>
    <w:p w:rsidR="00F138A9" w:rsidRPr="00E57DF4" w:rsidRDefault="00F138A9" w:rsidP="00F138A9">
      <w:pPr>
        <w:shd w:val="clear" w:color="auto" w:fill="FFFFFF"/>
        <w:ind w:firstLine="450"/>
        <w:jc w:val="both"/>
        <w:rPr>
          <w:color w:val="333333"/>
          <w:sz w:val="24"/>
          <w:szCs w:val="24"/>
          <w:lang w:eastAsia="ru-RU"/>
        </w:rPr>
      </w:pPr>
      <w:bookmarkStart w:id="11" w:name="n649"/>
      <w:bookmarkEnd w:id="11"/>
      <w:r w:rsidRPr="00E57DF4">
        <w:rPr>
          <w:color w:val="333333"/>
          <w:sz w:val="24"/>
          <w:szCs w:val="24"/>
          <w:lang w:eastAsia="ru-RU"/>
        </w:rPr>
        <w:t>10) документи звітності, що подаються до державних органів інших, ніж НКЦПФР та Національний банк України, відповідно до вимог законодавства (крім інформації, віднесеної до державної таємниці, та інформації з обмеженим доступом) …;</w:t>
      </w:r>
    </w:p>
    <w:p w:rsidR="00F138A9" w:rsidRPr="00E57DF4" w:rsidRDefault="00F138A9" w:rsidP="00F138A9">
      <w:pPr>
        <w:shd w:val="clear" w:color="auto" w:fill="FFFFFF"/>
        <w:ind w:firstLine="450"/>
        <w:jc w:val="both"/>
        <w:rPr>
          <w:color w:val="333333"/>
          <w:sz w:val="24"/>
          <w:szCs w:val="24"/>
          <w:lang w:eastAsia="ru-RU"/>
        </w:rPr>
      </w:pPr>
      <w:bookmarkStart w:id="12" w:name="n650"/>
      <w:bookmarkEnd w:id="12"/>
      <w:r w:rsidRPr="00E57DF4">
        <w:rPr>
          <w:color w:val="333333"/>
          <w:sz w:val="24"/>
          <w:szCs w:val="24"/>
          <w:lang w:eastAsia="ru-RU"/>
        </w:rPr>
        <w:t>…</w:t>
      </w:r>
    </w:p>
    <w:p w:rsidR="00F138A9" w:rsidRPr="00E57DF4" w:rsidRDefault="00F138A9" w:rsidP="00F138A9">
      <w:pPr>
        <w:shd w:val="clear" w:color="auto" w:fill="FFFFFF"/>
        <w:ind w:firstLine="450"/>
        <w:jc w:val="both"/>
        <w:rPr>
          <w:color w:val="333333"/>
          <w:sz w:val="24"/>
          <w:szCs w:val="24"/>
          <w:lang w:eastAsia="ru-RU"/>
        </w:rPr>
      </w:pPr>
      <w:bookmarkStart w:id="13" w:name="n651"/>
      <w:bookmarkEnd w:id="13"/>
      <w:r w:rsidRPr="00E57DF4">
        <w:rPr>
          <w:color w:val="333333"/>
          <w:sz w:val="24"/>
          <w:szCs w:val="24"/>
          <w:lang w:eastAsia="ru-RU"/>
        </w:rPr>
        <w:t>12) перелік афілійованих осіб товариства із зазначенням кількості, типу та/або класу належних їм акцій…;</w:t>
      </w:r>
    </w:p>
    <w:p w:rsidR="00F138A9" w:rsidRPr="00E57DF4" w:rsidRDefault="00F138A9" w:rsidP="00F138A9">
      <w:pPr>
        <w:shd w:val="clear" w:color="auto" w:fill="FFFFFF"/>
        <w:ind w:firstLine="450"/>
        <w:jc w:val="both"/>
        <w:rPr>
          <w:color w:val="333333"/>
          <w:sz w:val="24"/>
          <w:szCs w:val="24"/>
          <w:lang w:eastAsia="ru-RU"/>
        </w:rPr>
      </w:pPr>
      <w:bookmarkStart w:id="14" w:name="n652"/>
      <w:bookmarkEnd w:id="14"/>
      <w:r w:rsidRPr="00E57DF4">
        <w:rPr>
          <w:color w:val="333333"/>
          <w:sz w:val="24"/>
          <w:szCs w:val="24"/>
          <w:lang w:eastAsia="ru-RU"/>
        </w:rPr>
        <w:t xml:space="preserve">13) повідомлення про проведення загальних зборів акціонерного товариства разом з проектами рішень щодо кожного з питань, включених </w:t>
      </w:r>
      <w:proofErr w:type="gramStart"/>
      <w:r w:rsidRPr="00E57DF4">
        <w:rPr>
          <w:color w:val="333333"/>
          <w:sz w:val="24"/>
          <w:szCs w:val="24"/>
          <w:lang w:eastAsia="ru-RU"/>
        </w:rPr>
        <w:t>до проекту</w:t>
      </w:r>
      <w:proofErr w:type="gramEnd"/>
      <w:r w:rsidRPr="00E57DF4">
        <w:rPr>
          <w:color w:val="333333"/>
          <w:sz w:val="24"/>
          <w:szCs w:val="24"/>
          <w:lang w:eastAsia="ru-RU"/>
        </w:rPr>
        <w:t xml:space="preserve"> порядку денного загальних зборів, інформацією про загальну кількість акцій та голосуючих акцій станом на дату складення переліку осіб, яким надсилається повідомлення про проведення загальних зборів, переліком документів, які має надати акціонер (представник акціонера) для участі у загальних зборах …;</w:t>
      </w:r>
    </w:p>
    <w:p w:rsidR="00F138A9" w:rsidRPr="00F138A9" w:rsidRDefault="00F138A9" w:rsidP="00F138A9">
      <w:pPr>
        <w:shd w:val="clear" w:color="auto" w:fill="FFFFFF"/>
        <w:ind w:firstLine="450"/>
        <w:jc w:val="both"/>
        <w:rPr>
          <w:color w:val="333333"/>
          <w:sz w:val="24"/>
          <w:szCs w:val="24"/>
          <w:lang w:eastAsia="ru-RU"/>
        </w:rPr>
      </w:pPr>
      <w:bookmarkStart w:id="15" w:name="n653"/>
      <w:bookmarkEnd w:id="15"/>
      <w:r w:rsidRPr="00E57DF4">
        <w:rPr>
          <w:color w:val="333333"/>
          <w:sz w:val="24"/>
          <w:szCs w:val="24"/>
          <w:lang w:eastAsia="ru-RU"/>
        </w:rPr>
        <w:t>14) повідомлення про зміни</w:t>
      </w:r>
      <w:r w:rsidRPr="00F138A9">
        <w:rPr>
          <w:color w:val="333333"/>
          <w:sz w:val="24"/>
          <w:szCs w:val="24"/>
          <w:lang w:eastAsia="ru-RU"/>
        </w:rPr>
        <w:t xml:space="preserve"> у проекті порядку денного загальних зборів...;</w:t>
      </w:r>
    </w:p>
    <w:p w:rsidR="00F138A9" w:rsidRPr="00F138A9" w:rsidRDefault="00F138A9" w:rsidP="00F138A9">
      <w:pPr>
        <w:shd w:val="clear" w:color="auto" w:fill="FFFFFF"/>
        <w:ind w:firstLine="450"/>
        <w:jc w:val="both"/>
        <w:rPr>
          <w:color w:val="333333"/>
          <w:sz w:val="24"/>
          <w:szCs w:val="24"/>
          <w:lang w:eastAsia="ru-RU"/>
        </w:rPr>
      </w:pPr>
      <w:bookmarkStart w:id="16" w:name="n654"/>
      <w:bookmarkStart w:id="17" w:name="n658"/>
      <w:bookmarkEnd w:id="16"/>
      <w:bookmarkEnd w:id="17"/>
      <w:r w:rsidRPr="00F138A9">
        <w:rPr>
          <w:color w:val="333333"/>
          <w:sz w:val="24"/>
          <w:szCs w:val="24"/>
          <w:lang w:eastAsia="ru-RU"/>
        </w:rPr>
        <w:t>….</w:t>
      </w:r>
    </w:p>
    <w:p w:rsidR="00F138A9" w:rsidRPr="00F138A9" w:rsidRDefault="00F138A9" w:rsidP="00F138A9">
      <w:pPr>
        <w:shd w:val="clear" w:color="auto" w:fill="FFFFFF"/>
        <w:ind w:firstLine="450"/>
        <w:jc w:val="both"/>
        <w:rPr>
          <w:color w:val="333333"/>
          <w:sz w:val="24"/>
          <w:szCs w:val="24"/>
          <w:lang w:eastAsia="ru-RU"/>
        </w:rPr>
      </w:pPr>
      <w:r w:rsidRPr="00F138A9">
        <w:rPr>
          <w:color w:val="333333"/>
          <w:sz w:val="24"/>
          <w:szCs w:val="24"/>
          <w:lang w:eastAsia="ru-RU"/>
        </w:rPr>
        <w:t>19) звіти ради …, звіти виконавчого органу…;</w:t>
      </w:r>
    </w:p>
    <w:p w:rsidR="00F138A9" w:rsidRPr="00AA799D" w:rsidRDefault="00F138A9" w:rsidP="00F138A9">
      <w:pPr>
        <w:shd w:val="clear" w:color="auto" w:fill="FFFFFF"/>
        <w:ind w:firstLine="450"/>
        <w:jc w:val="both"/>
        <w:rPr>
          <w:color w:val="333333"/>
          <w:sz w:val="24"/>
          <w:szCs w:val="24"/>
          <w:lang w:val="uk-UA" w:eastAsia="ru-RU"/>
        </w:rPr>
      </w:pPr>
      <w:bookmarkStart w:id="18" w:name="n659"/>
      <w:bookmarkEnd w:id="18"/>
      <w:r w:rsidRPr="00F138A9">
        <w:rPr>
          <w:color w:val="333333"/>
          <w:sz w:val="24"/>
          <w:szCs w:val="24"/>
          <w:lang w:eastAsia="ru-RU"/>
        </w:rPr>
        <w:t>20) протоколи про підсумки голосування …</w:t>
      </w:r>
      <w:r w:rsidR="00AA799D">
        <w:rPr>
          <w:color w:val="333333"/>
          <w:sz w:val="24"/>
          <w:szCs w:val="24"/>
          <w:lang w:val="uk-UA" w:eastAsia="ru-RU"/>
        </w:rPr>
        <w:t>.</w:t>
      </w:r>
    </w:p>
    <w:p w:rsidR="00F138A9" w:rsidRPr="00F138A9" w:rsidRDefault="00F138A9" w:rsidP="00F138A9">
      <w:pPr>
        <w:jc w:val="both"/>
        <w:rPr>
          <w:sz w:val="24"/>
          <w:szCs w:val="24"/>
        </w:rPr>
      </w:pPr>
      <w:bookmarkStart w:id="19" w:name="n660"/>
      <w:bookmarkEnd w:id="19"/>
    </w:p>
    <w:p w:rsidR="00F138A9" w:rsidRPr="00F138A9" w:rsidRDefault="00F138A9" w:rsidP="00D06CB0">
      <w:pPr>
        <w:ind w:firstLine="708"/>
        <w:jc w:val="both"/>
        <w:rPr>
          <w:sz w:val="24"/>
          <w:szCs w:val="24"/>
          <w:lang w:val="uk-UA"/>
        </w:rPr>
      </w:pPr>
    </w:p>
    <w:sectPr w:rsidR="00F138A9" w:rsidRPr="00F138A9" w:rsidSect="00E53F0F">
      <w:pgSz w:w="11906" w:h="16838"/>
      <w:pgMar w:top="567" w:right="850"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9F4"/>
    <w:rsid w:val="001429DA"/>
    <w:rsid w:val="002C7F36"/>
    <w:rsid w:val="007520DC"/>
    <w:rsid w:val="007C19F4"/>
    <w:rsid w:val="00AA799D"/>
    <w:rsid w:val="00D06CB0"/>
    <w:rsid w:val="00E53F0F"/>
    <w:rsid w:val="00E57DF4"/>
    <w:rsid w:val="00F13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D299B-BDD2-41FA-B248-62A71A6F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9F4"/>
    <w:rPr>
      <w:rFonts w:eastAsia="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138A9"/>
    <w:pPr>
      <w:autoSpaceDE w:val="0"/>
      <w:autoSpaceDN w:val="0"/>
      <w:adjustRightInd w:val="0"/>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771</Words>
  <Characters>4396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2023-12-28T16:16:00Z</dcterms:created>
  <dcterms:modified xsi:type="dcterms:W3CDTF">2023-12-28T16:51:00Z</dcterms:modified>
</cp:coreProperties>
</file>